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3ad0f805a4e33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67dc509a685546b5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Филологический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Германских языков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Иностранный язык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Б1.Б.01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к деловому общению, профессиональной коммуникации на одном из иностранных языков (ОК-11)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к деловому общению, профессиональной коммуникации на одном из иностранных языков (ОК-11)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лексико-грамматический минимум общего и терминологического характера в объеме, необходимом для работы с иноязычными текстами в процессе профессиональной деятельности.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читать и переводить иноязычные тексты профессиональной направленности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необходимыми навыками профессионального общения на иностранном языке.</w:t>
              <w:br/>
              <w:doNotExpandShiftReturn/>
              <w:t/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«Иностранный язык» относится к базовой части.</w:t>
        <w:br/>
        <w:doNotExpandShiftReturn/>
        <w:t>Цели изучения дисциплины:</w:t>
        <w:br/>
        <w:doNotExpandShiftReturn/>
        <w:t>1. Получение основных сведений о звуковом строе английского языка, имеющих практическую ценность для овладения произношением в соответствии с современными орфоэпическими нормами произношения.</w:t>
        <w:br/>
        <w:doNotExpandShiftReturn/>
        <w:t>2. Формирование у студентов произносительных умений, необходимых для восприятия иноязычной речи на слух.</w:t>
        <w:br/>
        <w:doNotExpandShiftReturn/>
        <w:t>3. Формирование у студентов речевых умений в аудировании и устном переводе.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1 курсe в 1, 2 семестрах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7 зач. ед., 252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252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95,8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Economics as a Profession. Subjunctive Mood I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Characteristics of Farming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World Food Problems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Economics of Agricultural Production. Participle II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Money and Free Market Economy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What Banks Do. Future Perfect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Origin of Money. Past Perfect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Discoverers of the Laww of Demand and Supply. Present Perfect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Supply and Demand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Agricultural Economics. Participle I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22,8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Three Basic Kinds of Business. Passive Voice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My company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Company Formation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What is Marking?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Profit. Infinitive.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Economics. Глагол TO BE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Science of Economics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An Overview of Economics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Economy and Economic System. Оборот THERE IS / ARE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British Economy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Events around the 23d June 2016 Referendum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US Economy. Degrees of Comparison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Japan's Economic System. Present Simple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Russian Economy during the 90s. Future Simple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Russian Economy and Political Situation in the World. Present Continuous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Government and Economy. Past Continuous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 Rule of Government. Future Continuous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Theorist who Brought Economic into the 20th Century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 Security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Supply the Demand in Real Market.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Russian Federation. Past Simple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Factors Affecting the Profit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Function of Managment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Processes of Managment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Office. Subordinate Clauses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Defenition of Managment. Modal Verbs.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Letter Writing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Work History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My Future Profession. Subjunctive Mood II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First Day at Work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95,8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Economics as a Profession. Subjunctive Mood I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Сослагательное наклонение в английском языке: образование и употребление Subjunctive Mood I.</w:t>
              <w:br/>
              <w:doNotExpandShiftReturn/>
              <w:t>Чтение и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Characteristics of Farming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World Food Problems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4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Economics of Agricultural Production. Participle II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причастия прошедшего времени в английском языке:</w:t>
              <w:br/>
              <w:doNotExpandShiftReturn/>
              <w:t>- положительная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форма.</w:t>
              <w:br/>
              <w:doNotExpandShiftReturn/>
              <w:t>Чтение и перевод текста. Выполнение до- и послетекстовых упражнений.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Money and Free Market Economy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3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What Banks Do. Future Perfect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будущего завершенного времени:</w:t>
              <w:br/>
              <w:doNotExpandShiftReturn/>
              <w:t>- утвердительная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Origin of Money. Past Perfect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прошедшего завершенного времени:</w:t>
              <w:br/>
              <w:doNotExpandShiftReturn/>
              <w:t>- утвердительная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Discoverers of the Laww of Demand and Supply. Present Perfect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настоящего завершенного времени:</w:t>
              <w:br/>
              <w:doNotExpandShiftReturn/>
              <w:t>- утвердительная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Supply and Demand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Agricultural Economics. Participle I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причастия настоящего времени в английском языке:</w:t>
              <w:br/>
              <w:doNotExpandShiftReturn/>
              <w:t>- положительная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форма.</w:t>
              <w:br/>
              <w:doNotExpandShiftReturn/>
              <w:t>Чтение и перевод текста. Выполнение до- и послетекстовых упражнений.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Three Basic Kinds of Business. Passive Voice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причастия прошедшего времени в английском языке:</w:t>
              <w:br/>
              <w:doNotExpandShiftReturn/>
              <w:t>- положительная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форма.</w:t>
              <w:br/>
              <w:doNotExpandShiftReturn/>
              <w:t>Чтение и перевод текста. Выполнение до- и послетекстовых упражнений.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My company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Company Formation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What is Marking?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Profit. Infinitive.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Инфинитив в английском языке:</w:t>
              <w:br/>
              <w:doNotExpandShiftReturn/>
              <w:t>- образование</w:t>
              <w:br/>
              <w:doNotExpandShiftReturn/>
              <w:t>- формы</w:t>
              <w:br/>
              <w:doNotExpandShiftReturn/>
              <w:t>- функции</w:t>
              <w:br/>
              <w:doNotExpandShiftReturn/>
              <w:t>- употребление с частицей TO</w:t>
              <w:br/>
              <w:doNotExpandShiftReturn/>
              <w:t>- употребление без частицы TO</w:t>
              <w:br/>
              <w:doNotExpandShiftReturn/>
              <w:t>Чтение и перевод текста. Выполнение до- и послетекстовых упражнений.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Economics. Глагол TO BE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глагола TO BE:</w:t>
              <w:br/>
              <w:doNotExpandShiftReturn/>
              <w:t>- случаи употребления</w:t>
              <w:br/>
              <w:doNotExpandShiftReturn/>
              <w:t>- способы образования (число, время)</w:t>
              <w:br/>
              <w:doNotExpandShiftReturn/>
              <w:t>- положительная, отрицательная, вопросительная формы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Science of Economics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An Overview of Economics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Economy and Economic System. Оборот THERE IS / ARE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оборота THERE IS / ARE:</w:t>
              <w:br/>
              <w:doNotExpandShiftReturn/>
              <w:t>- положительная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British Economy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Events around the 23d June 2016 Referendum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US Economy. Degrees of Comparison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степени сравнения имен  прилагательных и наречий:</w:t>
              <w:br/>
              <w:doNotExpandShiftReturn/>
              <w:t>- односложные и некоторые двусложные имена прилагательные</w:t>
              <w:br/>
              <w:doNotExpandShiftReturn/>
              <w:t>- многосложные имена прилагательные</w:t>
              <w:br/>
              <w:doNotExpandShiftReturn/>
              <w:t>- слова исключения</w:t>
              <w:br/>
              <w:doNotExpandShiftReturn/>
              <w:t>- имена прилагательные имеющие по две формы сравнительной и превосходной степени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Japan's Economic System. Present Simple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настоящего простого времени:</w:t>
              <w:br/>
              <w:doNotExpandShiftReturn/>
              <w:t>- утвердительная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Russian Economy during the 90s. Future Simple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будущего простого времени:</w:t>
              <w:br/>
              <w:doNotExpandShiftReturn/>
              <w:t>- утвердительная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Russian Economy and Political Situation in the World. Present Continuous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настоящего длительного времени:</w:t>
              <w:br/>
              <w:doNotExpandShiftReturn/>
              <w:t>- утвердительная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- глаголы чувственного восприятия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Government and Economy. Past Continuous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прошедшего длительного времени:</w:t>
              <w:br/>
              <w:doNotExpandShiftReturn/>
              <w:t>- утвердительная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- глаголы чувственного восприятия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 Rule of Government. Future Continuous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будущего длительного времени:</w:t>
              <w:br/>
              <w:doNotExpandShiftReturn/>
              <w:t>- утвердительная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- глаголы чувственного восприятия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Theorist who Brought Economic into the 20th Century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Economic Security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Supply the Demand in Real Market.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Russian Federation. Past Simple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прошедшего простого времени:</w:t>
              <w:br/>
              <w:doNotExpandShiftReturn/>
              <w:t>- утвердительная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Factors Affecting the Profit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Function of Managment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Processes of Managment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The Office. Subordinate Clauses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Типы и виды придаточных предложений в английском языке.</w:t>
              <w:br/>
              <w:doNotExpandShiftReturn/>
              <w:t>Чтение и перевод текста. Выполнение до- и послетекстовых упражнений.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Defenition of Managment. Modal Verbs.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Образование и употребление модальных глаголов CAN / MUST / MAY:</w:t>
              <w:br/>
              <w:doNotExpandShiftReturn/>
              <w:t>- положительная форма</w:t>
              <w:br/>
              <w:doNotExpandShiftReturn/>
              <w:t>- отрицательная форма</w:t>
              <w:br/>
              <w:doNotExpandShiftReturn/>
              <w:t>- вопросительная форма</w:t>
              <w:br/>
              <w:doNotExpandShiftReturn/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Letter Writing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Work History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My Future Profession. Subjunctive Mood II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Сослагательное наклонение в английском языке: образование и употребление Subjunctive Mood II.</w:t>
              <w:br/>
              <w:doNotExpandShiftReturn/>
              <w:t>Чтение и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First Day at Work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Чтение, перевод текста. Выполнение до- и послетекстовых упражнений.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bf891e0164953" /><Relationship Type="http://schemas.openxmlformats.org/officeDocument/2006/relationships/settings" Target="/word/settings.xml" Id="R2d0e150d8c4f454e" /><Relationship Type="http://schemas.openxmlformats.org/officeDocument/2006/relationships/numbering" Target="/word/numbering.xml" Id="Rb8660c66bcad4de8" /><Relationship Type="http://schemas.openxmlformats.org/officeDocument/2006/relationships/footer" Target="/word/footer1.xml" Id="R67dc509a685546b5" /></Relationships>
</file>